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25 36 vom 1. Mai 2025</w:t>
      </w:r>
    </w:p>
    <w:p>
      <w:r>
        <w:t>VS Kantonsgericht, 2025-05-01, DE</w:t>
      </w:r>
    </w:p>
    <w:p>
      <w:r>
        <w:rPr>
          <w:b/>
        </w:rPr>
        <w:t xml:space="preserve">Quelle: </w:t>
      </w:r>
      <w:r>
        <w:t>https://mcp.opencaselaw.ch/entscheid/vs_gerichte_C1 25 36</w:t>
      </w:r>
    </w:p>
    <w:p>
      <w:r>
        <w:t>FR: VS_GERICHTE C1 25 36 du 1 mai 2025</w:t>
      </w:r>
    </w:p>
    <w:p>
      <w:r>
        <w:t>IT: VS_GERICHTE C1 25 36 del 1 maggio 2025</w:t>
      </w:r>
    </w:p>
    <w:p>
      <w:pPr>
        <w:pStyle w:val="Heading2"/>
      </w:pPr>
      <w:r>
        <w:t>Regeste</w:t>
      </w:r>
    </w:p>
    <w:p>
      <w:r>
        <w:t>Mit Urteil vom 1.Mai 2025 (5A_316/2025) trat das Bundesgericht auf eine gegen vorliegen- den Entscheid gerichtete Beschwerde in Zivilsachen nicht ein C1 25 36 ENTSCHEID VOM 31. MÄRZ 2025 Kantonsgericht Wallis Gerichtsbehörde im Kindes- und Erwachsenenschutz Dr. Lionel Seeberger, Einzelrichter; Bernhard Julen, Gerichtsschreiber in Sachen X _________, Beschwerdeführer gegen KINDES- UND ERWACHSENENSCHUTZBEHÖRDE VISP, Beschwerdegegnerin (Kindesschutz; Rechtsverweigerung /-verzögerung)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Im Kindesschutzverfahren kann jederzeit beim Kantonsgericht Wallis eine Be- schwerde wegen Rechtsverweigerung oder -verzögerung der Kindesschutzbehörde er- hoben werden, wobei darüber ein Einzelrichter entscheidet (Art. 314 Abs. 1 i.V.m. Art. 450a Abs. 2 und Art. 450b Abs. 3 ZGB; Art. 20 Abs. 3 RPflG; Art. 114 Abs. 1 lit. c Ziff. 4 und Abs. 2 EGZGB).</w:t>
      </w:r>
    </w:p>
    <w:p>
      <w:r>
        <w:rPr>
          <w:b/>
        </w:rPr>
        <w:t>E. 1.2</w:t>
      </w:r>
    </w:p>
    <w:p>
      <w:r>
        <w:t>An eine Laienbeschwerde sind keine allzu hohen Anforderungen zu stellen, wobei auch hier innert der Rechtsmittelfrist der klare Wille zur Anfechtung bekundet und dar- getan werden muss, weshalb der Entscheid angefochten wird bzw. geändert werden soll (Bundesgerichtsurteile 1C_434/2018 vom 1. Februar 2019 E. 4.4, 6B_280/2017 vom 9. Juni 2017 E. 2.2.2). Indessen können die Anträge insbesondere in Laieneingaben auch aus der Begründung hervorgehen (vgl. BGE 137 III 617 E 6.2; Bundesgerichtsurteil 6B_280/2017 vom 9. Juni 2017 E. 2.2.2). Der Kindsvater rügt insbesondere die Untätigkeit der Behörden, weshalb seine Eingaben als Rechtsverweigerungs- oder Rechtsverzögerungsbeschwerden zu behandeln sind. Die Begründungsanforderungen sind für einen Laien gerade noch erfüllt, womit grund- sätzlich auf die Beschwerden einzutreten ist.</w:t>
      </w:r>
    </w:p>
    <w:p>
      <w:r>
        <w:rPr>
          <w:b/>
        </w:rPr>
        <w:t>E. 1.3</w:t>
      </w:r>
    </w:p>
    <w:p>
      <w:r>
        <w:t>Im Kindesschutzverfahren gilt die uneingeschränkte Untersuchungsmaxime. Das Gericht erforscht den Sachverhalt von Amtes wegen (Art. 296 Abs. 1 ZPO und Art. 446 Abs. 1 ZGB). Diese Sachverhaltsermittlung von Amtes wegen erfolgt im öffentlichen In- teresse, um möglichst ein mit den wirklichen Verhältnissen übereinstimmendes Urteil zu garantieren (Bundesgerichtsurteil 4A_229/2017 vom 7. Dezember 2017 E. 3.3.1). Zu- dem ist im Kindesschutzverfahren die Offizialmaxime anwendbar, nach der das Gericht ohne Bindung an die Parteianträge entscheidet (Art. 446 Abs. 3 ZGB).</w:t>
      </w:r>
    </w:p>
    <w:p>
      <w:r>
        <w:rPr>
          <w:b/>
        </w:rPr>
        <w:t>E. 1.4</w:t>
      </w:r>
    </w:p>
    <w:p>
      <w:r>
        <w:t>Der Kindsvater beantragt eine Verlagerung des Verfahrens nach D _________ (S.</w:t>
      </w:r>
    </w:p>
    <w:p>
      <w:r>
        <w:rPr>
          <w:b/>
        </w:rPr>
        <w:t>E. 4</w:t>
      </w:r>
    </w:p>
    <w:p>
      <w:r>
        <w:t>Es werden weder Kosten erhoben noch Parteientschädigungen zugesprochen. Sitten, 31. März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